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Diversity and Inclusion Plan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By implementing this diversity and inclusion plan, we aim to create a workplace where all employees feel valued, respected, and empowered to contribute their unique perspectives and talents. Through continuous effort and commitment, we can build a more inclusive and equitable organization for everyone. As the HR department, it is our responsibility to lead efforts in creating an environment where all employees feel valued, respected, and included.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This plan outlines the strategy for promoting diversity and fostering inclusion across the organization.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Goals: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Promote diversity in recruitment and hiring practices.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Create an inclusive work environment where all employees feel valued and respected.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Provide training and development opportunities to support diversity and inclusion initiatives.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Monitor progress and continuously evaluate and improve our diversity and inclusion efforts.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Recruitment and Hiring: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Implement strategies to attract a diverse pool of candidates, including targeted outreach to underrepresented groups.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Establish diversity goals for recruitment and hiring processes and regularly track progress.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Train hiring managers and interview panels on unconscious bias awareness to ensure fair and equitable hiring decisions.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Implement blind resume screening to minimize bias during the initial screening process.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Training and Development: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Offer diversity and inclusion training for all employees to increase awareness and understanding of different perspectives and experiences.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Provide leadership development programs that emphasize inclusive leadership behaviors and strategies.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Offer employee resource groups (ERGs) or affinity groups to provide support and networking opportunities for employees from diverse backgrounds.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Workplace Policies and Practices: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Review and update HR policies to ensure they are inclusive and support diversity initiatives.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Implement flexible work arrangements to accommodate diverse needs and promote work-life balance.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Provide accommodations for employees with disabilities to ensure accessibility and inclusivity in the workplace.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Employee Engagement and Communication: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Foster open and transparent communication channels where employees feel comfortable sharing feedback and concerns.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Encourage employee participation in diversity and inclusion initiatives through surveys, focus groups, and town hall meetings.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Recognize and celebrate diverse cultural holidays and observances to promote cultural awareness and appreciation.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Monitoring and Evaluation: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Establish key performance indicators (KPIs) to measure the effectiveness of diversity and inclusion efforts.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Conduct regular audits of HR processes and practices to identify areas for improvement.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Collect and analyze demographic data to track diversity metrics and identify trends over time.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Solicit feedback from employees through regular surveys and focus groups to assess the impact of diversity and inclusion initiatives.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